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33C49">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UNLAWFUL DISCRIMINATION</w:t>
      </w:r>
      <w:r>
        <w:rPr>
          <w:rFonts w:ascii="Times New Roman" w:hAnsi="Times New Roman" w:cs="Times New Roman"/>
          <w:sz w:val="24"/>
          <w:szCs w:val="24"/>
        </w:rPr>
        <w:br/>
        <w:t xml:space="preserve">Your Rights and Remedies - Civil Rights Handbook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t>￹</w:t>
      </w:r>
      <w:r>
        <w:rPr>
          <w:rFonts w:ascii="Times New Roman" w:hAnsi="Times New Roman" w:cs="Times New Roman"/>
          <w:sz w:val="24"/>
          <w:szCs w:val="24"/>
        </w:rPr>
        <w:t>FPRIVATE "TYPE=PICT;ALT=DOJ Seal"</w:t>
      </w:r>
      <w:r w:rsidR="0012232D">
        <w:rPr>
          <w:rFonts w:ascii="Arial" w:hAnsi="Arial" w:cs="Arial"/>
          <w:noProof/>
          <w:sz w:val="20"/>
          <w:szCs w:val="20"/>
        </w:rPr>
        <w:drawing>
          <wp:inline distT="0" distB="0" distL="0" distR="0">
            <wp:extent cx="1409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409700" cy="952500"/>
                    </a:xfrm>
                    <a:prstGeom prst="rect">
                      <a:avLst/>
                    </a:prstGeom>
                    <a:noFill/>
                    <a:ln w="9525">
                      <a:noFill/>
                      <a:miter lim="800000"/>
                      <a:headEnd/>
                      <a:tailEnd/>
                    </a:ln>
                  </pic:spPr>
                </pic:pic>
              </a:graphicData>
            </a:graphic>
          </wp:inline>
        </w:drawing>
      </w:r>
    </w:p>
    <w:p w:rsidR="00000000" w:rsidRDefault="00D33C49">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w:instrText>
      </w:r>
      <w:r>
        <w:rPr>
          <w:rFonts w:ascii="Times New Roman" w:hAnsi="Times New Roman" w:cs="Times New Roman"/>
          <w:sz w:val="24"/>
          <w:szCs w:val="24"/>
        </w:rPr>
        <w:fldChar w:fldCharType="separate"/>
      </w:r>
      <w:r w:rsidR="0012232D">
        <w:rPr>
          <w:rFonts w:ascii="Times New Roman" w:hAnsi="Times New Roman" w:cs="Times New Roman"/>
          <w:b/>
          <w:bCs/>
          <w:sz w:val="24"/>
          <w:szCs w:val="24"/>
        </w:rPr>
        <w:t>Error! Hyperlink reference not valid.</w:t>
      </w:r>
      <w:r>
        <w:rPr>
          <w:rFonts w:ascii="Times New Roman" w:hAnsi="Times New Roman" w:cs="Times New Roman"/>
          <w:sz w:val="24"/>
          <w:szCs w:val="24"/>
        </w:rPr>
        <w:fldChar w:fldCharType="end"/>
      </w:r>
      <w:r>
        <w:rPr>
          <w:rFonts w:ascii="Times New Roman" w:hAnsi="Times New Roman" w:cs="Times New Roman"/>
          <w:sz w:val="24"/>
          <w:szCs w:val="24"/>
        </w:rPr>
        <w:br/>
      </w:r>
      <w:hyperlink r:id="rId5" w:history="1">
        <w:r>
          <w:rPr>
            <w:rFonts w:ascii="Times New Roman" w:hAnsi="Times New Roman" w:cs="Times New Roman"/>
            <w:color w:val="0000FF"/>
            <w:sz w:val="24"/>
            <w:szCs w:val="24"/>
            <w:u w:val="single"/>
          </w:rPr>
          <w:t>Table of Contents</w:t>
        </w:r>
      </w:hyperlink>
      <w:r>
        <w:rPr>
          <w:rFonts w:ascii="Times New Roman" w:hAnsi="Times New Roman" w:cs="Times New Roman"/>
          <w:sz w:val="24"/>
          <w:szCs w:val="24"/>
        </w:rPr>
        <w:t xml:space="preserve"> CHAPTER VII </w:t>
      </w:r>
      <w:r>
        <w:rPr>
          <w:rFonts w:ascii="Times New Roman" w:hAnsi="Times New Roman" w:cs="Times New Roman"/>
          <w:sz w:val="24"/>
          <w:szCs w:val="24"/>
        </w:rPr>
        <w:br/>
      </w:r>
      <w:r>
        <w:rPr>
          <w:rFonts w:ascii="Times New Roman" w:hAnsi="Times New Roman" w:cs="Times New Roman"/>
          <w:sz w:val="24"/>
          <w:szCs w:val="24"/>
        </w:rPr>
        <w:br/>
        <w:t xml:space="preserve">Medical and Healthcare </w:t>
      </w:r>
      <w:r>
        <w:rPr>
          <w:rFonts w:ascii="Times New Roman" w:hAnsi="Times New Roman" w:cs="Times New Roman"/>
          <w:sz w:val="24"/>
          <w:szCs w:val="24"/>
        </w:rPr>
        <w:br/>
      </w:r>
      <w:r>
        <w:rPr>
          <w:rFonts w:ascii="Times New Roman" w:hAnsi="Times New Roman" w:cs="Times New Roman"/>
          <w:sz w:val="24"/>
          <w:szCs w:val="24"/>
        </w:rPr>
        <w:br/>
        <w:t>Re</w:t>
      </w:r>
      <w:r>
        <w:rPr>
          <w:rFonts w:ascii="Times New Roman" w:hAnsi="Times New Roman" w:cs="Times New Roman"/>
          <w:sz w:val="24"/>
          <w:szCs w:val="24"/>
        </w:rPr>
        <w:t xml:space="preserve">cognizing the primary role that medical and health care plays in all of our lives, the Legislature has enacted several laws to ensure that medical and health care is delivered in a nondiscriminatory manner. Any health care and/or medical program receiving </w:t>
      </w:r>
      <w:r>
        <w:rPr>
          <w:rFonts w:ascii="Times New Roman" w:hAnsi="Times New Roman" w:cs="Times New Roman"/>
          <w:sz w:val="24"/>
          <w:szCs w:val="24"/>
        </w:rPr>
        <w:t>any form of funding or financial assistance from the State is prohibited from denying services based on ethnic group identification, religion, age, sex, color, or disability.</w:t>
      </w:r>
      <w:hyperlink r:id="rId6" w:history="1">
        <w:r>
          <w:rPr>
            <w:rFonts w:ascii="Times New Roman" w:hAnsi="Times New Roman" w:cs="Times New Roman"/>
            <w:color w:val="0000FF"/>
            <w:sz w:val="24"/>
            <w:szCs w:val="24"/>
            <w:u w:val="single"/>
            <w:vertAlign w:val="superscript"/>
          </w:rPr>
          <w:t xml:space="preserve"> (103)</w:t>
        </w:r>
      </w:hyperlink>
      <w:r>
        <w:rPr>
          <w:rFonts w:ascii="Times New Roman" w:hAnsi="Times New Roman" w:cs="Times New Roman"/>
          <w:sz w:val="24"/>
          <w:szCs w:val="24"/>
        </w:rPr>
        <w:t xml:space="preserve"> Moreover, as previously discussed in Chapter V, p</w:t>
      </w:r>
      <w:r>
        <w:rPr>
          <w:rFonts w:ascii="Times New Roman" w:hAnsi="Times New Roman" w:cs="Times New Roman"/>
          <w:sz w:val="24"/>
          <w:szCs w:val="24"/>
        </w:rPr>
        <w:t>roviders of medical services under the Medi-Cal program are prohibited from discriminating on the basis of race, national origin, ancestry, religion, sex, marital status, or political affiliation in providing services to their Medi-Cal patients. This prohi</w:t>
      </w:r>
      <w:r>
        <w:rPr>
          <w:rFonts w:ascii="Times New Roman" w:hAnsi="Times New Roman" w:cs="Times New Roman"/>
          <w:sz w:val="24"/>
          <w:szCs w:val="24"/>
        </w:rPr>
        <w:t>bition against discrimination applies to many different kinds of providers of health care services, including doctors, dentists, therapists, hospitals, rest homes, and rehabilitation centers. Medi-Cal recipients who choose to enroll in prepaid health plans</w:t>
      </w:r>
      <w:r>
        <w:rPr>
          <w:rFonts w:ascii="Times New Roman" w:hAnsi="Times New Roman" w:cs="Times New Roman"/>
          <w:sz w:val="24"/>
          <w:szCs w:val="24"/>
        </w:rPr>
        <w:t xml:space="preserve"> are also protected. Prepaid health plans cannot discriminate against Medi-Cal enrollees on the basis of race, sex, age, religion, creed, color, national origin or ancestry.</w:t>
      </w:r>
      <w:hyperlink r:id="rId7" w:history="1">
        <w:r>
          <w:rPr>
            <w:rFonts w:ascii="Times New Roman" w:hAnsi="Times New Roman" w:cs="Times New Roman"/>
            <w:color w:val="0000FF"/>
            <w:sz w:val="24"/>
            <w:szCs w:val="24"/>
            <w:u w:val="single"/>
            <w:vertAlign w:val="superscript"/>
          </w:rPr>
          <w:t xml:space="preserve"> (104)</w:t>
        </w:r>
      </w:hyperlink>
      <w:r>
        <w:rPr>
          <w:rFonts w:ascii="Times New Roman" w:hAnsi="Times New Roman" w:cs="Times New Roman"/>
          <w:sz w:val="24"/>
          <w:szCs w:val="24"/>
        </w:rPr>
        <w:t xml:space="preserve"> If you believe you have been discriminated against</w:t>
      </w:r>
      <w:r>
        <w:rPr>
          <w:rFonts w:ascii="Times New Roman" w:hAnsi="Times New Roman" w:cs="Times New Roman"/>
          <w:sz w:val="24"/>
          <w:szCs w:val="24"/>
        </w:rPr>
        <w:t xml:space="preserve"> by a Medi-Cal provider, a prepaid health plan funded by Medi-Cal, or by any other health care provider which receives state funds, you should follow the procedures outlined in the Public Assistance/Government Benefits chapter of this publication. </w:t>
      </w:r>
      <w:r>
        <w:rPr>
          <w:rFonts w:ascii="Times New Roman" w:hAnsi="Times New Roman" w:cs="Times New Roman"/>
          <w:sz w:val="24"/>
          <w:szCs w:val="24"/>
        </w:rPr>
        <w:br/>
      </w:r>
      <w:r>
        <w:rPr>
          <w:rFonts w:ascii="Times New Roman" w:hAnsi="Times New Roman" w:cs="Times New Roman"/>
          <w:sz w:val="24"/>
          <w:szCs w:val="24"/>
        </w:rPr>
        <w:br/>
        <w:t>The ri</w:t>
      </w:r>
      <w:r>
        <w:rPr>
          <w:rFonts w:ascii="Times New Roman" w:hAnsi="Times New Roman" w:cs="Times New Roman"/>
          <w:sz w:val="24"/>
          <w:szCs w:val="24"/>
        </w:rPr>
        <w:t>ght to receive medical care and treatment in a nondiscriminatory manner is not limited to medical treatment and services paid for or funded by the government. Private business establishments which provide health care or medical services are also prohibited</w:t>
      </w:r>
      <w:r>
        <w:rPr>
          <w:rFonts w:ascii="Times New Roman" w:hAnsi="Times New Roman" w:cs="Times New Roman"/>
          <w:sz w:val="24"/>
          <w:szCs w:val="24"/>
        </w:rPr>
        <w:t xml:space="preserve"> by the Unruh Civil Rights Act from denying such services based on arbitrary classifications such as sex, color, race, national origin, religion, ancestry, disability or medical condition.</w:t>
      </w:r>
      <w:hyperlink r:id="rId8" w:history="1">
        <w:r>
          <w:rPr>
            <w:rFonts w:ascii="Times New Roman" w:hAnsi="Times New Roman" w:cs="Times New Roman"/>
            <w:color w:val="0000FF"/>
            <w:sz w:val="24"/>
            <w:szCs w:val="24"/>
            <w:u w:val="single"/>
            <w:vertAlign w:val="superscript"/>
          </w:rPr>
          <w:t xml:space="preserve"> (105)</w:t>
        </w:r>
      </w:hyperlink>
      <w:r>
        <w:rPr>
          <w:rFonts w:ascii="Times New Roman" w:hAnsi="Times New Roman" w:cs="Times New Roman"/>
          <w:sz w:val="24"/>
          <w:szCs w:val="24"/>
        </w:rPr>
        <w:t xml:space="preserve"> The Americans with Disabilities Act</w:t>
      </w:r>
      <w:r>
        <w:rPr>
          <w:rFonts w:ascii="Times New Roman" w:hAnsi="Times New Roman" w:cs="Times New Roman"/>
          <w:sz w:val="24"/>
          <w:szCs w:val="24"/>
        </w:rPr>
        <w:t xml:space="preserve"> (ADA) makes it unlawful for places of public accommodation, including medical and dental providers, to discriminate on the basis of disability.</w:t>
      </w:r>
      <w:hyperlink r:id="rId9" w:history="1">
        <w:r>
          <w:rPr>
            <w:rFonts w:ascii="Times New Roman" w:hAnsi="Times New Roman" w:cs="Times New Roman"/>
            <w:color w:val="0000FF"/>
            <w:sz w:val="24"/>
            <w:szCs w:val="24"/>
            <w:u w:val="single"/>
            <w:vertAlign w:val="superscript"/>
          </w:rPr>
          <w:t xml:space="preserve"> (106)</w:t>
        </w:r>
      </w:hyperlink>
      <w:r>
        <w:rPr>
          <w:rFonts w:ascii="Times New Roman" w:hAnsi="Times New Roman" w:cs="Times New Roman"/>
          <w:sz w:val="24"/>
          <w:szCs w:val="24"/>
        </w:rPr>
        <w:t xml:space="preserve"> Any violation of the ADA is also a violation of the Unruh Civil Rights Act.</w:t>
      </w:r>
      <w:hyperlink r:id="rId10" w:history="1">
        <w:r>
          <w:rPr>
            <w:rFonts w:ascii="Times New Roman" w:hAnsi="Times New Roman" w:cs="Times New Roman"/>
            <w:color w:val="0000FF"/>
            <w:sz w:val="24"/>
            <w:szCs w:val="24"/>
            <w:u w:val="single"/>
            <w:vertAlign w:val="superscript"/>
          </w:rPr>
          <w:t xml:space="preserve"> (107)</w:t>
        </w:r>
      </w:hyperlink>
      <w:r>
        <w:rPr>
          <w:rFonts w:ascii="Times New Roman" w:hAnsi="Times New Roman" w:cs="Times New Roman"/>
          <w:sz w:val="24"/>
          <w:szCs w:val="24"/>
        </w:rPr>
        <w:t xml:space="preserve"> Health care providers cannot refuse to provide services on the basis of HIV infection unless to do so would pose a "direct threat to the health or safety of others." "Direct threat" means "a significant risk to the health or sa</w:t>
      </w:r>
      <w:r>
        <w:rPr>
          <w:rFonts w:ascii="Times New Roman" w:hAnsi="Times New Roman" w:cs="Times New Roman"/>
          <w:sz w:val="24"/>
          <w:szCs w:val="24"/>
        </w:rPr>
        <w:t>fety of others that cannot be eliminated by a modification of policies, practices or procedures or by the provision of auxiliary aids or services."</w:t>
      </w:r>
      <w:hyperlink r:id="rId11" w:history="1">
        <w:r>
          <w:rPr>
            <w:rFonts w:ascii="Times New Roman" w:hAnsi="Times New Roman" w:cs="Times New Roman"/>
            <w:color w:val="0000FF"/>
            <w:sz w:val="24"/>
            <w:szCs w:val="24"/>
            <w:u w:val="single"/>
            <w:vertAlign w:val="superscript"/>
          </w:rPr>
          <w:t xml:space="preserve"> (108)</w:t>
        </w:r>
      </w:hyperlink>
      <w:r>
        <w:rPr>
          <w:rFonts w:ascii="Times New Roman" w:hAnsi="Times New Roman" w:cs="Times New Roman"/>
          <w:sz w:val="24"/>
          <w:szCs w:val="24"/>
        </w:rPr>
        <w:t xml:space="preserve"> Routine medical and dental care is unlikely to pose such a threat.</w:t>
      </w:r>
      <w:hyperlink r:id="rId12" w:history="1">
        <w:r>
          <w:rPr>
            <w:rFonts w:ascii="Times New Roman" w:hAnsi="Times New Roman" w:cs="Times New Roman"/>
            <w:color w:val="0000FF"/>
            <w:sz w:val="24"/>
            <w:szCs w:val="24"/>
            <w:u w:val="single"/>
            <w:vertAlign w:val="superscript"/>
          </w:rPr>
          <w:t xml:space="preserve"> (109)</w:t>
        </w:r>
      </w:hyperlink>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t xml:space="preserve">Most licensed individuals and private business establishments which provide health care or </w:t>
      </w:r>
      <w:r>
        <w:rPr>
          <w:rFonts w:ascii="Times New Roman" w:hAnsi="Times New Roman" w:cs="Times New Roman"/>
          <w:sz w:val="24"/>
          <w:szCs w:val="24"/>
        </w:rPr>
        <w:lastRenderedPageBreak/>
        <w:t>medical services are prohibited from unlawfully discriminating against patients as a condition of maintaining their licenses to operate. The</w:t>
      </w:r>
      <w:r>
        <w:rPr>
          <w:rFonts w:ascii="Times New Roman" w:hAnsi="Times New Roman" w:cs="Times New Roman"/>
          <w:sz w:val="24"/>
          <w:szCs w:val="24"/>
        </w:rPr>
        <w:t>refore, licensed individuals and business establishments which discriminate against you should be promptly reported to their respective licensing boards. Furthermore, if the provider of your health services is a licensed health facility such as a hospital,</w:t>
      </w:r>
      <w:r>
        <w:rPr>
          <w:rFonts w:ascii="Times New Roman" w:hAnsi="Times New Roman" w:cs="Times New Roman"/>
          <w:sz w:val="24"/>
          <w:szCs w:val="24"/>
        </w:rPr>
        <w:t xml:space="preserve"> nursing home, or clinic, and you believe that your provider has discriminated against you, you should contact the nearest office of the Licensing and Certification Division of the State Department of Health Services, or the office listed below, to file yo</w:t>
      </w:r>
      <w:r>
        <w:rPr>
          <w:rFonts w:ascii="Times New Roman" w:hAnsi="Times New Roman" w:cs="Times New Roman"/>
          <w:sz w:val="24"/>
          <w:szCs w:val="24"/>
        </w:rPr>
        <w:t xml:space="preserve">ur complaint or to ask any questions that you may have: </w:t>
      </w:r>
      <w:r>
        <w:rPr>
          <w:rFonts w:ascii="Times New Roman" w:hAnsi="Times New Roman" w:cs="Times New Roman"/>
          <w:sz w:val="24"/>
          <w:szCs w:val="24"/>
        </w:rPr>
        <w:br/>
      </w:r>
    </w:p>
    <w:p w:rsidR="00000000" w:rsidRDefault="00D33C49">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The Legislature has also recognized that certain groups, because of their unique medical and health needs, warrant legislation specially designed to meet their needs. One such group consists of deve</w:t>
      </w:r>
      <w:r>
        <w:rPr>
          <w:rFonts w:ascii="Times New Roman" w:hAnsi="Times New Roman" w:cs="Times New Roman"/>
          <w:sz w:val="24"/>
          <w:szCs w:val="24"/>
        </w:rPr>
        <w:t>lopmentally-disabled children and adults who reside in our communities. In order to meet the needs of this group and to allow them to live more independent and useful lives, the Legislature enacted the Lanterman Developmental Disabilities Services Act, Wel</w:t>
      </w:r>
      <w:r>
        <w:rPr>
          <w:rFonts w:ascii="Times New Roman" w:hAnsi="Times New Roman" w:cs="Times New Roman"/>
          <w:sz w:val="24"/>
          <w:szCs w:val="24"/>
        </w:rPr>
        <w:t xml:space="preserve">fare &amp; Institutions Code section 4500 et seq. </w:t>
      </w:r>
      <w:r>
        <w:rPr>
          <w:rFonts w:ascii="Times New Roman" w:hAnsi="Times New Roman" w:cs="Times New Roman"/>
          <w:sz w:val="24"/>
          <w:szCs w:val="24"/>
        </w:rPr>
        <w:br/>
      </w:r>
      <w:r>
        <w:rPr>
          <w:rFonts w:ascii="Times New Roman" w:hAnsi="Times New Roman" w:cs="Times New Roman"/>
          <w:sz w:val="24"/>
          <w:szCs w:val="24"/>
        </w:rPr>
        <w:br/>
        <w:t>Section 4502 of the Act affirms that people do not give up their constitutional or statutory rights by virtue of having a developmental disability. The same section contains a prohibition against denying an o</w:t>
      </w:r>
      <w:r>
        <w:rPr>
          <w:rFonts w:ascii="Times New Roman" w:hAnsi="Times New Roman" w:cs="Times New Roman"/>
          <w:sz w:val="24"/>
          <w:szCs w:val="24"/>
        </w:rPr>
        <w:t>therwise qualified person with a developmental disability participation in, or the benefits of, any program or activity which receives public funds. It also enumerates rights that persons with developmental disabilities have, including rights "to treatment</w:t>
      </w:r>
      <w:r>
        <w:rPr>
          <w:rFonts w:ascii="Times New Roman" w:hAnsi="Times New Roman" w:cs="Times New Roman"/>
          <w:sz w:val="24"/>
          <w:szCs w:val="24"/>
        </w:rPr>
        <w:t xml:space="preserve"> and habilitation services . . . to dignity, privacy and humane care . . . to participate in an appropriate level of publicly supported education . . . to prompt medical care and treatment . . . [and] to be free from harm . . . [and] hazardous procedures."</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t>Section 4503 of this Act acknowledges that persons who are housed in state hospitals and in other residential settings such as community care facilities are vulnerable to abuse and exploitation. To prohibit the continuation or recurrence of abuses, this</w:t>
      </w:r>
      <w:r>
        <w:rPr>
          <w:rFonts w:ascii="Times New Roman" w:hAnsi="Times New Roman" w:cs="Times New Roman"/>
          <w:sz w:val="24"/>
          <w:szCs w:val="24"/>
        </w:rPr>
        <w:t xml:space="preserve"> section states that persons placed in such facilities shall have certain rights that can only be denied or withdrawn under specified conditions. These rights include the right to the use of money, the right to personal possessions and private storage spac</w:t>
      </w:r>
      <w:r>
        <w:rPr>
          <w:rFonts w:ascii="Times New Roman" w:hAnsi="Times New Roman" w:cs="Times New Roman"/>
          <w:sz w:val="24"/>
          <w:szCs w:val="24"/>
        </w:rPr>
        <w:t xml:space="preserve">e, the right to communicate with others outside the facility by telephone, mail, or visits, and the right to refuse certain treatment procedures. </w:t>
      </w:r>
      <w:r>
        <w:rPr>
          <w:rFonts w:ascii="Times New Roman" w:hAnsi="Times New Roman" w:cs="Times New Roman"/>
          <w:sz w:val="24"/>
          <w:szCs w:val="24"/>
        </w:rPr>
        <w:br/>
      </w:r>
      <w:r>
        <w:rPr>
          <w:rFonts w:ascii="Times New Roman" w:hAnsi="Times New Roman" w:cs="Times New Roman"/>
          <w:sz w:val="24"/>
          <w:szCs w:val="24"/>
        </w:rPr>
        <w:br/>
        <w:t>Section 4503 also requires that these rights be posted prominently in English, Spanish and other appropriate</w:t>
      </w:r>
      <w:r>
        <w:rPr>
          <w:rFonts w:ascii="Times New Roman" w:hAnsi="Times New Roman" w:cs="Times New Roman"/>
          <w:sz w:val="24"/>
          <w:szCs w:val="24"/>
        </w:rPr>
        <w:t xml:space="preserve"> languages in all residential facilities. Further, section 4504 states that such facilities may only deny any of these rights for good cause, and that any denial shall be entered into the person's treatment record.</w:t>
      </w:r>
      <w:hyperlink r:id="rId13" w:history="1">
        <w:r>
          <w:rPr>
            <w:rFonts w:ascii="Times New Roman" w:hAnsi="Times New Roman" w:cs="Times New Roman"/>
            <w:color w:val="0000FF"/>
            <w:sz w:val="24"/>
            <w:szCs w:val="24"/>
            <w:u w:val="single"/>
            <w:vertAlign w:val="superscript"/>
          </w:rPr>
          <w:t xml:space="preserve"> (110)</w:t>
        </w:r>
      </w:hyperlink>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t>The Dep</w:t>
      </w:r>
      <w:r>
        <w:rPr>
          <w:rFonts w:ascii="Times New Roman" w:hAnsi="Times New Roman" w:cs="Times New Roman"/>
          <w:sz w:val="24"/>
          <w:szCs w:val="24"/>
        </w:rPr>
        <w:t>artment of Developmental Services, which oversees most programs and health facilities providing health and medical services to the developmentally disabled, maintains an office which can respond to complaints or answer questions regarding discrimination ag</w:t>
      </w:r>
      <w:r>
        <w:rPr>
          <w:rFonts w:ascii="Times New Roman" w:hAnsi="Times New Roman" w:cs="Times New Roman"/>
          <w:sz w:val="24"/>
          <w:szCs w:val="24"/>
        </w:rPr>
        <w:t>ainst the developmentally disabled or the rights afforded such individuals.</w:t>
      </w:r>
    </w:p>
    <w:p w:rsidR="00000000" w:rsidRDefault="00D33C49">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103. Government Code section 11135. </w:t>
      </w:r>
      <w:r>
        <w:rPr>
          <w:rFonts w:ascii="Times New Roman" w:hAnsi="Times New Roman" w:cs="Times New Roman"/>
          <w:sz w:val="24"/>
          <w:szCs w:val="24"/>
        </w:rPr>
        <w:br/>
      </w:r>
      <w:r>
        <w:rPr>
          <w:rFonts w:ascii="Times New Roman" w:hAnsi="Times New Roman" w:cs="Times New Roman"/>
          <w:sz w:val="24"/>
          <w:szCs w:val="24"/>
        </w:rPr>
        <w:br/>
        <w:t xml:space="preserve">104. Welfare and Institutions Code section 14200.1. </w:t>
      </w:r>
      <w:r>
        <w:rPr>
          <w:rFonts w:ascii="Times New Roman" w:hAnsi="Times New Roman" w:cs="Times New Roman"/>
          <w:sz w:val="24"/>
          <w:szCs w:val="24"/>
        </w:rPr>
        <w:br/>
      </w:r>
      <w:r>
        <w:rPr>
          <w:rFonts w:ascii="Times New Roman" w:hAnsi="Times New Roman" w:cs="Times New Roman"/>
          <w:sz w:val="24"/>
          <w:szCs w:val="24"/>
        </w:rPr>
        <w:lastRenderedPageBreak/>
        <w:br/>
        <w:t xml:space="preserve">105. The Unruh Civil Rights Act has also been interpreted to prohibit discrimination on </w:t>
      </w:r>
      <w:r>
        <w:rPr>
          <w:rFonts w:ascii="Times New Roman" w:hAnsi="Times New Roman" w:cs="Times New Roman"/>
          <w:sz w:val="24"/>
          <w:szCs w:val="24"/>
        </w:rPr>
        <w:t xml:space="preserve">the basis of sexual orientation. (See </w:t>
      </w:r>
      <w:r>
        <w:rPr>
          <w:rFonts w:ascii="Times New Roman" w:hAnsi="Times New Roman" w:cs="Times New Roman"/>
          <w:i/>
          <w:iCs/>
          <w:sz w:val="24"/>
          <w:szCs w:val="24"/>
        </w:rPr>
        <w:t>Rolon v. Kulwitzky</w:t>
      </w:r>
      <w:r>
        <w:rPr>
          <w:rFonts w:ascii="Times New Roman" w:hAnsi="Times New Roman" w:cs="Times New Roman"/>
          <w:sz w:val="24"/>
          <w:szCs w:val="24"/>
        </w:rPr>
        <w:t xml:space="preserve"> (1984) 153 Cal.App.3d 289 and </w:t>
      </w:r>
      <w:r>
        <w:rPr>
          <w:rFonts w:ascii="Times New Roman" w:hAnsi="Times New Roman" w:cs="Times New Roman"/>
          <w:i/>
          <w:iCs/>
          <w:sz w:val="24"/>
          <w:szCs w:val="24"/>
        </w:rPr>
        <w:t>Hubert v. Williams</w:t>
      </w:r>
      <w:r>
        <w:rPr>
          <w:rFonts w:ascii="Times New Roman" w:hAnsi="Times New Roman" w:cs="Times New Roman"/>
          <w:sz w:val="24"/>
          <w:szCs w:val="24"/>
        </w:rPr>
        <w:t xml:space="preserve"> (1982) 133 Cal.App.3d Supp.1.) For a more complete discussion of the type of classifications prohibited by the Unruh Civil Rights Act and of the remed</w:t>
      </w:r>
      <w:r>
        <w:rPr>
          <w:rFonts w:ascii="Times New Roman" w:hAnsi="Times New Roman" w:cs="Times New Roman"/>
          <w:sz w:val="24"/>
          <w:szCs w:val="24"/>
        </w:rPr>
        <w:t xml:space="preserve">ies available under that Act, see chapter III and chapter IV in this publication. </w:t>
      </w:r>
      <w:r>
        <w:rPr>
          <w:rFonts w:ascii="Times New Roman" w:hAnsi="Times New Roman" w:cs="Times New Roman"/>
          <w:sz w:val="24"/>
          <w:szCs w:val="24"/>
        </w:rPr>
        <w:br/>
      </w:r>
      <w:r>
        <w:rPr>
          <w:rFonts w:ascii="Times New Roman" w:hAnsi="Times New Roman" w:cs="Times New Roman"/>
          <w:sz w:val="24"/>
          <w:szCs w:val="24"/>
        </w:rPr>
        <w:br/>
        <w:t xml:space="preserve">106. 42 U.S.C. § 12182. </w:t>
      </w:r>
      <w:r>
        <w:rPr>
          <w:rFonts w:ascii="Times New Roman" w:hAnsi="Times New Roman" w:cs="Times New Roman"/>
          <w:sz w:val="24"/>
          <w:szCs w:val="24"/>
        </w:rPr>
        <w:br/>
      </w:r>
      <w:r>
        <w:rPr>
          <w:rFonts w:ascii="Times New Roman" w:hAnsi="Times New Roman" w:cs="Times New Roman"/>
          <w:sz w:val="24"/>
          <w:szCs w:val="24"/>
        </w:rPr>
        <w:br/>
        <w:t xml:space="preserve">107. Civil Code section 51. </w:t>
      </w:r>
      <w:r>
        <w:rPr>
          <w:rFonts w:ascii="Times New Roman" w:hAnsi="Times New Roman" w:cs="Times New Roman"/>
          <w:sz w:val="24"/>
          <w:szCs w:val="24"/>
        </w:rPr>
        <w:br/>
      </w:r>
      <w:r>
        <w:rPr>
          <w:rFonts w:ascii="Times New Roman" w:hAnsi="Times New Roman" w:cs="Times New Roman"/>
          <w:sz w:val="24"/>
          <w:szCs w:val="24"/>
        </w:rPr>
        <w:br/>
        <w:t xml:space="preserve">108. 42 U.S.C. § 12182(3). </w:t>
      </w:r>
      <w:r>
        <w:rPr>
          <w:rFonts w:ascii="Times New Roman" w:hAnsi="Times New Roman" w:cs="Times New Roman"/>
          <w:sz w:val="24"/>
          <w:szCs w:val="24"/>
        </w:rPr>
        <w:br/>
      </w:r>
      <w:r>
        <w:rPr>
          <w:rFonts w:ascii="Times New Roman" w:hAnsi="Times New Roman" w:cs="Times New Roman"/>
          <w:sz w:val="24"/>
          <w:szCs w:val="24"/>
        </w:rPr>
        <w:br/>
        <w:t xml:space="preserve">109. See </w:t>
      </w:r>
      <w:r>
        <w:rPr>
          <w:rFonts w:ascii="Times New Roman" w:hAnsi="Times New Roman" w:cs="Times New Roman"/>
          <w:i/>
          <w:iCs/>
          <w:sz w:val="24"/>
          <w:szCs w:val="24"/>
        </w:rPr>
        <w:t>Abbott v. Bragdon</w:t>
      </w:r>
      <w:r>
        <w:rPr>
          <w:rFonts w:ascii="Times New Roman" w:hAnsi="Times New Roman" w:cs="Times New Roman"/>
          <w:sz w:val="24"/>
          <w:szCs w:val="24"/>
        </w:rPr>
        <w:t xml:space="preserve"> (1st Cir.1998) 163 F.3d 87, cert. den. (1999) 526 U.S. 1131.</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t xml:space="preserve">110. The Lanterman-Petris-Shore Act (Welf. &amp; Inst. Code, § 5000 et seq.) guarantees similar rights to persons institutionalized as a result of mental disability. (See Welf. &amp; Inst. Code, §§ 5325 and 5325.1.) For further information, see </w:t>
      </w:r>
      <w:r>
        <w:rPr>
          <w:rFonts w:ascii="Times New Roman" w:hAnsi="Times New Roman" w:cs="Times New Roman"/>
          <w:i/>
          <w:iCs/>
          <w:sz w:val="24"/>
          <w:szCs w:val="24"/>
        </w:rPr>
        <w:t xml:space="preserve">Legal Rights of </w:t>
      </w:r>
      <w:r>
        <w:rPr>
          <w:rFonts w:ascii="Times New Roman" w:hAnsi="Times New Roman" w:cs="Times New Roman"/>
          <w:i/>
          <w:iCs/>
          <w:sz w:val="24"/>
          <w:szCs w:val="24"/>
        </w:rPr>
        <w:t>Persons with Disabilities</w:t>
      </w:r>
      <w:r>
        <w:rPr>
          <w:rFonts w:ascii="Times New Roman" w:hAnsi="Times New Roman" w:cs="Times New Roman"/>
          <w:sz w:val="24"/>
          <w:szCs w:val="24"/>
        </w:rPr>
        <w:t xml:space="preserve">, California Department of Justice, March 1997 (with July 1998 revisions). </w:t>
      </w:r>
      <w:r>
        <w:rPr>
          <w:rFonts w:ascii="Times New Roman" w:hAnsi="Times New Roman" w:cs="Times New Roman"/>
          <w:sz w:val="24"/>
          <w:szCs w:val="24"/>
        </w:rPr>
        <w:br/>
      </w:r>
      <w:r>
        <w:rPr>
          <w:rFonts w:ascii="Times New Roman" w:hAnsi="Times New Roman" w:cs="Times New Roman"/>
          <w:sz w:val="24"/>
          <w:szCs w:val="24"/>
        </w:rPr>
        <w:br/>
      </w:r>
    </w:p>
    <w:p w:rsidR="00D33C49" w:rsidRDefault="00D33C49">
      <w:pPr>
        <w:widowControl w:val="0"/>
        <w:autoSpaceDE w:val="0"/>
        <w:autoSpaceDN w:val="0"/>
        <w:adjustRightInd w:val="0"/>
        <w:spacing w:after="0" w:line="240" w:lineRule="auto"/>
        <w:rPr>
          <w:rFonts w:ascii="Arial" w:hAnsi="Arial" w:cs="Arial"/>
          <w:sz w:val="20"/>
          <w:szCs w:val="20"/>
        </w:rPr>
      </w:pPr>
    </w:p>
    <w:sectPr w:rsidR="00D33C4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37152"/>
    <w:rsid w:val="0012232D"/>
    <w:rsid w:val="00737152"/>
    <w:rsid w:val="00D33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Michael%20Swenson\Documents\My%20Documents\TheFight\VirusRemovalTools\RemoveWorms\l" TargetMode="External"/><Relationship Id="rId13" Type="http://schemas.openxmlformats.org/officeDocument/2006/relationships/hyperlink" Target="file:///C:\Users\Michael%20Swenson\Documents\My%20Documents\TheFight\VirusRemovalTools\RemoveWorms\l" TargetMode="External"/><Relationship Id="rId3" Type="http://schemas.openxmlformats.org/officeDocument/2006/relationships/webSettings" Target="webSettings.xml"/><Relationship Id="rId7" Type="http://schemas.openxmlformats.org/officeDocument/2006/relationships/hyperlink" Target="file:///C:\Users\Michael%20Swenson\Documents\My%20Documents\TheFight\VirusRemovalTools\RemoveWorms\l" TargetMode="External"/><Relationship Id="rId12" Type="http://schemas.openxmlformats.org/officeDocument/2006/relationships/hyperlink" Target="file:///C:\Users\Michael%20Swenson\Documents\My%20Documents\TheFight\VirusRemovalTools\RemoveWorms\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ichael%20Swenson\Documents\My%20Documents\TheFight\VirusRemovalTools\RemoveWorms\l" TargetMode="External"/><Relationship Id="rId11" Type="http://schemas.openxmlformats.org/officeDocument/2006/relationships/hyperlink" Target="file:///C:\Users\Michael%20Swenson\Documents\My%20Documents\TheFight\VirusRemovalTools\RemoveWorms\l" TargetMode="External"/><Relationship Id="rId5" Type="http://schemas.openxmlformats.org/officeDocument/2006/relationships/hyperlink" Target="file:///C:\Users\Michael%20Swenson\Documents\My%20Documents\TheFight\VirusRemovalTools\RemoveWorms\index.htm" TargetMode="External"/><Relationship Id="rId15" Type="http://schemas.openxmlformats.org/officeDocument/2006/relationships/theme" Target="theme/theme1.xml"/><Relationship Id="rId10" Type="http://schemas.openxmlformats.org/officeDocument/2006/relationships/hyperlink" Target="file:///C:\Users\Michael%20Swenson\Documents\My%20Documents\TheFight\VirusRemovalTools\RemoveWorms\l" TargetMode="External"/><Relationship Id="rId4" Type="http://schemas.openxmlformats.org/officeDocument/2006/relationships/image" Target="media/image1.wmf"/><Relationship Id="rId9" Type="http://schemas.openxmlformats.org/officeDocument/2006/relationships/hyperlink" Target="file:///C:\Users\Michael%20Swenson\Documents\My%20Documents\TheFight\VirusRemovalTools\RemoveWorms\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1239</Words>
  <Characters>7063</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Swenson</dc:creator>
  <cp:lastModifiedBy>Michael Swenson</cp:lastModifiedBy>
  <cp:revision>2</cp:revision>
  <dcterms:created xsi:type="dcterms:W3CDTF">2009-09-01T08:05:00Z</dcterms:created>
  <dcterms:modified xsi:type="dcterms:W3CDTF">2009-09-01T08:05:00Z</dcterms:modified>
</cp:coreProperties>
</file>